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7" w:rsidRPr="00E64D3D" w:rsidRDefault="00450167" w:rsidP="00450167">
      <w:pPr>
        <w:jc w:val="center"/>
        <w:rPr>
          <w:rFonts w:ascii="Calibri" w:hAnsi="Calibri" w:cs="Times New Roman"/>
          <w:b/>
          <w:sz w:val="40"/>
          <w:szCs w:val="40"/>
        </w:rPr>
      </w:pPr>
      <w:bookmarkStart w:id="0" w:name="_GoBack"/>
      <w:bookmarkEnd w:id="0"/>
      <w:r w:rsidRPr="00E64D3D">
        <w:rPr>
          <w:rFonts w:ascii="Calibri" w:hAnsi="Calibri" w:cs="Times New Roman"/>
          <w:b/>
          <w:sz w:val="40"/>
          <w:szCs w:val="40"/>
        </w:rPr>
        <w:t xml:space="preserve">Early Years Pupil Premium </w:t>
      </w:r>
      <w:r w:rsidR="000009A5" w:rsidRPr="00E64D3D">
        <w:rPr>
          <w:rFonts w:ascii="Calibri" w:hAnsi="Calibri" w:cs="Times New Roman"/>
          <w:b/>
          <w:sz w:val="40"/>
          <w:szCs w:val="40"/>
        </w:rPr>
        <w:t>Ex</w:t>
      </w:r>
      <w:r w:rsidRPr="00E64D3D">
        <w:rPr>
          <w:rFonts w:ascii="Calibri" w:hAnsi="Calibri" w:cs="Times New Roman"/>
          <w:b/>
          <w:sz w:val="40"/>
          <w:szCs w:val="40"/>
        </w:rPr>
        <w:t xml:space="preserve">penditure </w:t>
      </w:r>
      <w:r w:rsidR="000009A5" w:rsidRPr="00E64D3D">
        <w:rPr>
          <w:rFonts w:ascii="Calibri" w:hAnsi="Calibri" w:cs="Times New Roman"/>
          <w:b/>
          <w:sz w:val="40"/>
          <w:szCs w:val="40"/>
        </w:rPr>
        <w:t>R</w:t>
      </w:r>
      <w:r w:rsidRPr="00E64D3D">
        <w:rPr>
          <w:rFonts w:ascii="Calibri" w:hAnsi="Calibri" w:cs="Times New Roman"/>
          <w:b/>
          <w:sz w:val="40"/>
          <w:szCs w:val="40"/>
        </w:rPr>
        <w:t>eport 20</w:t>
      </w:r>
      <w:r w:rsidR="004C4723">
        <w:rPr>
          <w:rFonts w:ascii="Calibri" w:hAnsi="Calibri" w:cs="Times New Roman"/>
          <w:b/>
          <w:sz w:val="40"/>
          <w:szCs w:val="40"/>
        </w:rPr>
        <w:t>19-2020</w:t>
      </w:r>
    </w:p>
    <w:p w:rsidR="00450167" w:rsidRPr="00E64D3D" w:rsidRDefault="00450167" w:rsidP="00450167">
      <w:pPr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3396"/>
        <w:gridCol w:w="1448"/>
        <w:gridCol w:w="5493"/>
      </w:tblGrid>
      <w:tr w:rsidR="00450167" w:rsidRPr="001276C9" w:rsidTr="00753B26">
        <w:tc>
          <w:tcPr>
            <w:tcW w:w="14560" w:type="dxa"/>
            <w:gridSpan w:val="4"/>
            <w:shd w:val="clear" w:color="auto" w:fill="CCECFF"/>
          </w:tcPr>
          <w:p w:rsidR="00450167" w:rsidRPr="00E64D3D" w:rsidRDefault="00450167" w:rsidP="00E64D3D">
            <w:pPr>
              <w:spacing w:before="240" w:after="24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Number of children and early years pupil premium grant (EYPP) receive</w:t>
            </w:r>
            <w:r w:rsidR="00767190">
              <w:rPr>
                <w:rFonts w:ascii="Calibri" w:hAnsi="Calibri" w:cs="Times New Roman"/>
                <w:b/>
                <w:sz w:val="24"/>
                <w:szCs w:val="24"/>
              </w:rPr>
              <w:t>d</w:t>
            </w:r>
          </w:p>
        </w:tc>
      </w:tr>
      <w:tr w:rsidR="00450167" w:rsidRPr="001276C9" w:rsidTr="00753B26">
        <w:tc>
          <w:tcPr>
            <w:tcW w:w="14560" w:type="dxa"/>
            <w:gridSpan w:val="4"/>
          </w:tcPr>
          <w:p w:rsidR="00450167" w:rsidRPr="004A2240" w:rsidRDefault="00450167" w:rsidP="000009A5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2240">
              <w:rPr>
                <w:rFonts w:ascii="Calibri" w:hAnsi="Calibri" w:cs="Times New Roman"/>
                <w:b/>
                <w:sz w:val="24"/>
                <w:szCs w:val="24"/>
              </w:rPr>
              <w:t>Total number of children on roll</w:t>
            </w:r>
            <w:r w:rsidR="004A2240" w:rsidRPr="004A2240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4A2240" w:rsidRDefault="004A2240" w:rsidP="000009A5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F02237" w:rsidRDefault="004A2240" w:rsidP="000009A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Autumn 2019</w:t>
            </w:r>
          </w:p>
          <w:p w:rsidR="00F02237" w:rsidRDefault="00F02237" w:rsidP="000009A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AM: </w:t>
            </w:r>
            <w:r w:rsidR="00F02DE5">
              <w:rPr>
                <w:rFonts w:ascii="Calibri" w:hAnsi="Calibri" w:cs="Times New Roman"/>
                <w:sz w:val="24"/>
                <w:szCs w:val="24"/>
              </w:rPr>
              <w:t>71 + 8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in the Special Support Centre</w:t>
            </w:r>
          </w:p>
          <w:p w:rsidR="00F02237" w:rsidRDefault="00F02DE5" w:rsidP="000009A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PM: 67+4</w:t>
            </w:r>
            <w:r w:rsidR="00F0223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F02237" w:rsidRPr="00F02237">
              <w:rPr>
                <w:rFonts w:ascii="Calibri" w:hAnsi="Calibri" w:cs="Times New Roman"/>
                <w:sz w:val="24"/>
                <w:szCs w:val="24"/>
              </w:rPr>
              <w:t>in the Special Support Centre</w:t>
            </w:r>
          </w:p>
          <w:p w:rsidR="004A2240" w:rsidRDefault="004A2240" w:rsidP="000009A5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F02237" w:rsidRDefault="00F02237" w:rsidP="000009A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Spring</w:t>
            </w:r>
            <w:r w:rsidR="004A2240">
              <w:rPr>
                <w:rFonts w:ascii="Calibri" w:hAnsi="Calibri" w:cs="Times New Roman"/>
                <w:sz w:val="24"/>
                <w:szCs w:val="24"/>
              </w:rPr>
              <w:t xml:space="preserve"> 2020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F02237" w:rsidRPr="00F02237" w:rsidRDefault="00F02DE5" w:rsidP="00F0223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AM: 87</w:t>
            </w:r>
            <w:r w:rsidR="00F02237">
              <w:rPr>
                <w:rFonts w:ascii="Calibri" w:hAnsi="Calibri" w:cs="Times New Roman"/>
                <w:sz w:val="24"/>
                <w:szCs w:val="24"/>
              </w:rPr>
              <w:t xml:space="preserve"> + 8</w:t>
            </w:r>
            <w:r w:rsidR="00F02237" w:rsidRPr="00F02237">
              <w:rPr>
                <w:rFonts w:ascii="Calibri" w:hAnsi="Calibri" w:cs="Times New Roman"/>
                <w:sz w:val="24"/>
                <w:szCs w:val="24"/>
              </w:rPr>
              <w:t xml:space="preserve"> in the Special Support Centre</w:t>
            </w:r>
          </w:p>
          <w:p w:rsidR="00F02237" w:rsidRPr="00E64D3D" w:rsidRDefault="00F02DE5" w:rsidP="00F0223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PM: 85</w:t>
            </w:r>
            <w:r w:rsidR="00F0223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F02237" w:rsidRPr="00F02237">
              <w:rPr>
                <w:rFonts w:ascii="Calibri" w:hAnsi="Calibri" w:cs="Times New Roman"/>
                <w:sz w:val="24"/>
                <w:szCs w:val="24"/>
              </w:rPr>
              <w:t>+5 in the Special Support Centre</w:t>
            </w:r>
          </w:p>
          <w:p w:rsidR="004A2240" w:rsidRDefault="004A2240" w:rsidP="0045016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009A5" w:rsidRDefault="004A2240" w:rsidP="0045016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Summer 2020</w:t>
            </w:r>
          </w:p>
          <w:p w:rsidR="00206673" w:rsidRPr="00206673" w:rsidRDefault="00F02DE5" w:rsidP="0020667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AM: 91</w:t>
            </w:r>
            <w:r w:rsidR="00206673">
              <w:rPr>
                <w:rFonts w:ascii="Calibri" w:hAnsi="Calibri" w:cs="Times New Roman"/>
                <w:sz w:val="24"/>
                <w:szCs w:val="24"/>
              </w:rPr>
              <w:t xml:space="preserve"> + 8</w:t>
            </w:r>
            <w:r w:rsidR="00206673" w:rsidRPr="00206673">
              <w:rPr>
                <w:rFonts w:ascii="Calibri" w:hAnsi="Calibri" w:cs="Times New Roman"/>
                <w:sz w:val="24"/>
                <w:szCs w:val="24"/>
              </w:rPr>
              <w:t xml:space="preserve"> in the Special Support Centre</w:t>
            </w:r>
          </w:p>
          <w:p w:rsidR="00F02237" w:rsidRDefault="00F02DE5" w:rsidP="0020667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PM: 90</w:t>
            </w:r>
            <w:r w:rsidR="00206673" w:rsidRPr="00206673">
              <w:rPr>
                <w:rFonts w:ascii="Calibri" w:hAnsi="Calibri" w:cs="Times New Roman"/>
                <w:sz w:val="24"/>
                <w:szCs w:val="24"/>
              </w:rPr>
              <w:t>+5 in the Special Support Centre</w:t>
            </w:r>
          </w:p>
          <w:p w:rsidR="00F02DE5" w:rsidRDefault="00F02DE5" w:rsidP="0020667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F02DE5" w:rsidRDefault="00F02DE5" w:rsidP="0020667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(The actual numbers of children attending during the </w:t>
            </w:r>
            <w:r w:rsidR="004A2240">
              <w:rPr>
                <w:rFonts w:ascii="Calibri" w:hAnsi="Calibri" w:cs="Times New Roman"/>
                <w:sz w:val="24"/>
                <w:szCs w:val="24"/>
              </w:rPr>
              <w:t>Summer Term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was much less due to national school closures in response to COVID 19. The numbers listed are places offered and accepted prior to the global pandemic.)</w:t>
            </w:r>
          </w:p>
          <w:p w:rsidR="00F02DE5" w:rsidRPr="00E64D3D" w:rsidRDefault="00F02DE5" w:rsidP="0020667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0167" w:rsidRPr="001276C9" w:rsidTr="004A2240">
        <w:trPr>
          <w:trHeight w:val="669"/>
        </w:trPr>
        <w:tc>
          <w:tcPr>
            <w:tcW w:w="14560" w:type="dxa"/>
            <w:gridSpan w:val="4"/>
          </w:tcPr>
          <w:p w:rsidR="00450167" w:rsidRPr="004A2240" w:rsidRDefault="00450167" w:rsidP="0045016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2240">
              <w:rPr>
                <w:rFonts w:ascii="Calibri" w:hAnsi="Calibri" w:cs="Times New Roman"/>
                <w:b/>
                <w:sz w:val="24"/>
                <w:szCs w:val="24"/>
              </w:rPr>
              <w:t>Total number of looked after children (LAC)</w:t>
            </w:r>
            <w:r w:rsidR="004A2240" w:rsidRPr="004A2240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0009A5" w:rsidRDefault="004C4723" w:rsidP="0045016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  <w:p w:rsidR="004A2240" w:rsidRPr="00E64D3D" w:rsidRDefault="004A2240" w:rsidP="0045016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0167" w:rsidRPr="001276C9" w:rsidTr="00753B26">
        <w:tc>
          <w:tcPr>
            <w:tcW w:w="14560" w:type="dxa"/>
            <w:gridSpan w:val="4"/>
          </w:tcPr>
          <w:p w:rsidR="00450167" w:rsidRPr="004A2240" w:rsidRDefault="00450167" w:rsidP="0045016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2240">
              <w:rPr>
                <w:rFonts w:ascii="Calibri" w:hAnsi="Calibri" w:cs="Times New Roman"/>
                <w:b/>
                <w:sz w:val="24"/>
                <w:szCs w:val="24"/>
              </w:rPr>
              <w:t>Total number of children eligible for EYPP</w:t>
            </w:r>
            <w:r w:rsidR="004A2240" w:rsidRPr="004A2240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0009A5" w:rsidRDefault="000009A5" w:rsidP="0045016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4C472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Autumn 2019 </w:t>
            </w:r>
            <w:r w:rsidR="004C4723" w:rsidRPr="004C472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4C4723" w:rsidRPr="004C4723" w:rsidRDefault="004C4723" w:rsidP="004C4723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4723">
              <w:rPr>
                <w:rFonts w:ascii="Calibri" w:hAnsi="Calibri" w:cs="Times New Roman"/>
                <w:sz w:val="24"/>
                <w:szCs w:val="24"/>
              </w:rPr>
              <w:t>5 children - £556.50</w:t>
            </w:r>
          </w:p>
          <w:p w:rsidR="004C4723" w:rsidRPr="004C4723" w:rsidRDefault="004C4723" w:rsidP="004C472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4C472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Spring 2020 </w:t>
            </w:r>
            <w:r w:rsidR="004C4723" w:rsidRPr="004C472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4C4723" w:rsidRPr="004C4723" w:rsidRDefault="004C4723" w:rsidP="004C4723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4723">
              <w:rPr>
                <w:rFonts w:ascii="Calibri" w:hAnsi="Calibri" w:cs="Times New Roman"/>
                <w:sz w:val="24"/>
                <w:szCs w:val="24"/>
              </w:rPr>
              <w:t>5 children - £477.00</w:t>
            </w:r>
          </w:p>
          <w:p w:rsidR="004C4723" w:rsidRPr="004C4723" w:rsidRDefault="004C4723" w:rsidP="004C472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C4723" w:rsidP="004C4723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4723">
              <w:rPr>
                <w:rFonts w:ascii="Calibri" w:hAnsi="Calibri" w:cs="Times New Roman"/>
                <w:sz w:val="24"/>
                <w:szCs w:val="24"/>
              </w:rPr>
              <w:t xml:space="preserve">Summer 2020 </w:t>
            </w:r>
          </w:p>
          <w:p w:rsidR="004C4723" w:rsidRDefault="004C4723" w:rsidP="004C4723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4723">
              <w:rPr>
                <w:rFonts w:ascii="Calibri" w:hAnsi="Calibri" w:cs="Times New Roman"/>
                <w:sz w:val="24"/>
                <w:szCs w:val="24"/>
              </w:rPr>
              <w:t>25 children - £2,385.00</w:t>
            </w:r>
          </w:p>
          <w:p w:rsidR="004C4723" w:rsidRPr="00E64D3D" w:rsidRDefault="004C4723" w:rsidP="0045016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0167" w:rsidRPr="001276C9" w:rsidTr="00753B26">
        <w:tc>
          <w:tcPr>
            <w:tcW w:w="14560" w:type="dxa"/>
            <w:gridSpan w:val="4"/>
            <w:shd w:val="clear" w:color="auto" w:fill="CCECFF"/>
          </w:tcPr>
          <w:p w:rsidR="00450167" w:rsidRPr="00E64D3D" w:rsidRDefault="004A2240" w:rsidP="004A2240">
            <w:pPr>
              <w:spacing w:before="240" w:after="24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Outcomes for</w:t>
            </w:r>
            <w:r w:rsidR="00450167" w:rsidRPr="00E64D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children eligible for EYPP</w:t>
            </w:r>
          </w:p>
        </w:tc>
      </w:tr>
      <w:tr w:rsidR="00450167" w:rsidRPr="001276C9" w:rsidTr="004A2240">
        <w:tc>
          <w:tcPr>
            <w:tcW w:w="7619" w:type="dxa"/>
            <w:gridSpan w:val="2"/>
          </w:tcPr>
          <w:p w:rsidR="00450167" w:rsidRPr="00E64D3D" w:rsidRDefault="00450167" w:rsidP="000009A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% of children at age-related expectation (or exceeding) in prime areas at end of year (30-50a or 40-60c)</w:t>
            </w:r>
          </w:p>
        </w:tc>
        <w:tc>
          <w:tcPr>
            <w:tcW w:w="6941" w:type="dxa"/>
            <w:gridSpan w:val="2"/>
          </w:tcPr>
          <w:p w:rsidR="00450167" w:rsidRPr="00E64D3D" w:rsidRDefault="0019780A" w:rsidP="000009A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Tracking data is unavailable for this cohort due to national school closures due to the COVID 19 response. </w:t>
            </w:r>
          </w:p>
        </w:tc>
      </w:tr>
      <w:tr w:rsidR="00450167" w:rsidRPr="001276C9" w:rsidTr="004A2240">
        <w:tc>
          <w:tcPr>
            <w:tcW w:w="7619" w:type="dxa"/>
            <w:gridSpan w:val="2"/>
          </w:tcPr>
          <w:p w:rsidR="00450167" w:rsidRPr="00E64D3D" w:rsidRDefault="00450167" w:rsidP="000009A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% of children at age related expectation (or exceeding) in all seven areas at end of year (30-50a or 40-60c)</w:t>
            </w:r>
          </w:p>
        </w:tc>
        <w:tc>
          <w:tcPr>
            <w:tcW w:w="6941" w:type="dxa"/>
            <w:gridSpan w:val="2"/>
          </w:tcPr>
          <w:p w:rsidR="00450167" w:rsidRPr="00E64D3D" w:rsidRDefault="0019780A" w:rsidP="000009A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9780A">
              <w:rPr>
                <w:rFonts w:ascii="Calibri" w:hAnsi="Calibri" w:cs="Times New Roman"/>
                <w:sz w:val="24"/>
                <w:szCs w:val="24"/>
              </w:rPr>
              <w:t xml:space="preserve">Tracking data is unavailable for this cohort due to national school closures due to the COVID 19 response. </w:t>
            </w:r>
          </w:p>
        </w:tc>
      </w:tr>
      <w:tr w:rsidR="00450167" w:rsidRPr="001276C9" w:rsidTr="00753B26">
        <w:tc>
          <w:tcPr>
            <w:tcW w:w="14560" w:type="dxa"/>
            <w:gridSpan w:val="4"/>
            <w:shd w:val="clear" w:color="auto" w:fill="CCECFF"/>
          </w:tcPr>
          <w:p w:rsidR="00450167" w:rsidRPr="00E64D3D" w:rsidRDefault="00450167" w:rsidP="00E64D3D">
            <w:pPr>
              <w:spacing w:before="240" w:after="24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 xml:space="preserve">Record of EYPP spending by item/project </w:t>
            </w:r>
          </w:p>
        </w:tc>
      </w:tr>
      <w:tr w:rsidR="004A2240" w:rsidRPr="001276C9" w:rsidTr="004A2240">
        <w:tc>
          <w:tcPr>
            <w:tcW w:w="4223" w:type="dxa"/>
            <w:shd w:val="clear" w:color="auto" w:fill="CCECFF"/>
          </w:tcPr>
          <w:p w:rsidR="004A2240" w:rsidRPr="00E64D3D" w:rsidRDefault="004A2240" w:rsidP="000009A5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Item/project</w:t>
            </w:r>
          </w:p>
        </w:tc>
        <w:tc>
          <w:tcPr>
            <w:tcW w:w="4844" w:type="dxa"/>
            <w:gridSpan w:val="2"/>
            <w:shd w:val="clear" w:color="auto" w:fill="CCECFF"/>
          </w:tcPr>
          <w:p w:rsidR="004A2240" w:rsidRPr="00E64D3D" w:rsidRDefault="004A2240" w:rsidP="00450167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5493" w:type="dxa"/>
            <w:shd w:val="clear" w:color="auto" w:fill="CCECFF"/>
          </w:tcPr>
          <w:p w:rsidR="004A2240" w:rsidRPr="00E64D3D" w:rsidRDefault="004A2240" w:rsidP="00450167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Expected Outcome</w:t>
            </w:r>
          </w:p>
        </w:tc>
      </w:tr>
      <w:tr w:rsidR="004A2240" w:rsidRPr="001276C9" w:rsidTr="004A2240">
        <w:tc>
          <w:tcPr>
            <w:tcW w:w="4223" w:type="dxa"/>
          </w:tcPr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1863">
              <w:rPr>
                <w:rFonts w:ascii="Calibri" w:hAnsi="Calibri" w:cs="Times New Roman"/>
                <w:sz w:val="24"/>
                <w:szCs w:val="24"/>
              </w:rPr>
              <w:t>Target children eligible for EYPP to access relevant small group interventions as described in the EYPP Policy.</w:t>
            </w: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Teachers to identify vulnerable children on their tracking and plan catch up sessions for TA or teacher to deliver x3 each week. </w:t>
            </w: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Pr="00E64D3D" w:rsidRDefault="004A2240" w:rsidP="00753B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2"/>
          </w:tcPr>
          <w:p w:rsidR="004A2240" w:rsidRPr="00F51863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I</w:t>
            </w:r>
            <w:r w:rsidRPr="00F51863">
              <w:rPr>
                <w:rFonts w:ascii="Calibri" w:hAnsi="Calibri" w:cs="Times New Roman"/>
                <w:sz w:val="24"/>
                <w:szCs w:val="24"/>
              </w:rPr>
              <w:t>dentify specific areas where children accessing EYPP are working below age related expectations to improve outcomes.</w:t>
            </w: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</w:t>
            </w:r>
            <w:r w:rsidRPr="00F51863">
              <w:rPr>
                <w:rFonts w:ascii="Calibri" w:hAnsi="Calibri" w:cs="Times New Roman"/>
                <w:sz w:val="24"/>
                <w:szCs w:val="24"/>
              </w:rPr>
              <w:t>arrow / close the gap between children who access EYPP and those who are not eligible.</w:t>
            </w: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Enhanced levels of support for identified children during session and group times to support with their progress and development in speaking and listening, making relationships and managing feelings and behaviour. </w:t>
            </w:r>
          </w:p>
          <w:p w:rsidR="004A2240" w:rsidRPr="00E64D3D" w:rsidRDefault="004A2240" w:rsidP="00753B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</w:t>
            </w:r>
            <w:r w:rsidRPr="00EE5019">
              <w:rPr>
                <w:rFonts w:ascii="Calibri" w:hAnsi="Calibri" w:cs="Times New Roman"/>
                <w:sz w:val="24"/>
                <w:szCs w:val="24"/>
              </w:rPr>
              <w:t xml:space="preserve">ttainment gap narrowed so that children who are eligible for EYPP achieve at or above age related expectations in all areas of the curriculum.  </w:t>
            </w:r>
          </w:p>
          <w:p w:rsidR="004A2240" w:rsidRPr="00EE5019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  <w:r w:rsidRPr="00EE5019">
              <w:rPr>
                <w:rFonts w:ascii="Calibri" w:hAnsi="Calibri" w:cs="Times New Roman"/>
                <w:sz w:val="24"/>
                <w:szCs w:val="24"/>
              </w:rPr>
              <w:t xml:space="preserve">Children with recognised SEND and / or who attend the SSC will achieve </w:t>
            </w:r>
            <w:r>
              <w:rPr>
                <w:rFonts w:ascii="Calibri" w:hAnsi="Calibri" w:cs="Times New Roman"/>
                <w:sz w:val="24"/>
                <w:szCs w:val="24"/>
              </w:rPr>
              <w:t>at levels identified in his/</w:t>
            </w:r>
            <w:r w:rsidRPr="00EE5019">
              <w:rPr>
                <w:rFonts w:ascii="Calibri" w:hAnsi="Calibri" w:cs="Times New Roman"/>
                <w:sz w:val="24"/>
                <w:szCs w:val="24"/>
              </w:rPr>
              <w:t>her Individual Plan.</w:t>
            </w: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Default="004A2240" w:rsidP="00753B2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2240" w:rsidRPr="00E64D3D" w:rsidRDefault="004A2240" w:rsidP="00753B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450167" w:rsidRPr="00E64D3D" w:rsidRDefault="0045016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1686"/>
        <w:gridCol w:w="2935"/>
        <w:gridCol w:w="1824"/>
        <w:gridCol w:w="3067"/>
        <w:gridCol w:w="2157"/>
      </w:tblGrid>
      <w:tr w:rsidR="001276C9" w:rsidRPr="001276C9" w:rsidTr="003A4C28">
        <w:trPr>
          <w:trHeight w:val="405"/>
        </w:trPr>
        <w:tc>
          <w:tcPr>
            <w:tcW w:w="2943" w:type="dxa"/>
            <w:shd w:val="clear" w:color="auto" w:fill="CCECFF"/>
          </w:tcPr>
          <w:p w:rsidR="00450167" w:rsidRPr="00E64D3D" w:rsidRDefault="00450167" w:rsidP="000009A5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Total EYPP received</w:t>
            </w:r>
          </w:p>
        </w:tc>
        <w:tc>
          <w:tcPr>
            <w:tcW w:w="1701" w:type="dxa"/>
          </w:tcPr>
          <w:p w:rsidR="00450167" w:rsidRPr="00E64D3D" w:rsidRDefault="00450167" w:rsidP="00450167">
            <w:pPr>
              <w:rPr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£</w:t>
            </w:r>
            <w:r w:rsidR="00F251AD">
              <w:rPr>
                <w:rFonts w:ascii="Calibri" w:hAnsi="Calibri" w:cs="Times New Roman"/>
                <w:sz w:val="24"/>
                <w:szCs w:val="24"/>
              </w:rPr>
              <w:t>3418.50</w:t>
            </w:r>
          </w:p>
        </w:tc>
        <w:tc>
          <w:tcPr>
            <w:tcW w:w="2977" w:type="dxa"/>
            <w:shd w:val="clear" w:color="auto" w:fill="CCECFF"/>
          </w:tcPr>
          <w:p w:rsidR="00450167" w:rsidRPr="00E64D3D" w:rsidRDefault="00450167" w:rsidP="0045016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Total EYPP expenditure</w:t>
            </w:r>
          </w:p>
        </w:tc>
        <w:tc>
          <w:tcPr>
            <w:tcW w:w="1843" w:type="dxa"/>
          </w:tcPr>
          <w:p w:rsidR="00450167" w:rsidRPr="00E64D3D" w:rsidRDefault="00450167" w:rsidP="00450167">
            <w:pPr>
              <w:rPr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£</w:t>
            </w:r>
            <w:r w:rsidR="00F251AD">
              <w:rPr>
                <w:rFonts w:ascii="Calibri" w:hAnsi="Calibri" w:cs="Times New Roman"/>
                <w:sz w:val="24"/>
                <w:szCs w:val="24"/>
              </w:rPr>
              <w:t>3418.50</w:t>
            </w:r>
          </w:p>
        </w:tc>
        <w:tc>
          <w:tcPr>
            <w:tcW w:w="3118" w:type="dxa"/>
            <w:shd w:val="clear" w:color="auto" w:fill="CCECFF"/>
          </w:tcPr>
          <w:p w:rsidR="00450167" w:rsidRPr="00E64D3D" w:rsidRDefault="00450167" w:rsidP="0045016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EYPP remaining</w:t>
            </w:r>
          </w:p>
        </w:tc>
        <w:tc>
          <w:tcPr>
            <w:tcW w:w="2204" w:type="dxa"/>
          </w:tcPr>
          <w:p w:rsidR="00450167" w:rsidRPr="00E64D3D" w:rsidRDefault="00450167" w:rsidP="00450167">
            <w:pPr>
              <w:rPr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£</w:t>
            </w:r>
            <w:r w:rsidR="00DE3427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</w:tr>
    </w:tbl>
    <w:p w:rsidR="007C482B" w:rsidRDefault="007C482B"/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701"/>
        <w:gridCol w:w="1984"/>
        <w:gridCol w:w="1559"/>
      </w:tblGrid>
      <w:tr w:rsidR="000009A5" w:rsidTr="000009A5">
        <w:tc>
          <w:tcPr>
            <w:tcW w:w="9606" w:type="dxa"/>
            <w:shd w:val="clear" w:color="auto" w:fill="FFFFFF" w:themeFill="background1"/>
          </w:tcPr>
          <w:p w:rsidR="000009A5" w:rsidRDefault="000009A5" w:rsidP="004501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CCF32B" wp14:editId="4799B201">
                  <wp:extent cx="4189274" cy="962025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624" cy="96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 w:themeFill="background1"/>
          </w:tcPr>
          <w:p w:rsidR="000009A5" w:rsidRPr="007C482B" w:rsidRDefault="000009A5" w:rsidP="0045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4EB417" wp14:editId="5C5FCD7D">
                  <wp:extent cx="920750" cy="768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009A5" w:rsidRPr="00450167" w:rsidRDefault="0089081B" w:rsidP="0045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2BDC22" wp14:editId="48A8DAE5">
                  <wp:extent cx="714375" cy="715495"/>
                  <wp:effectExtent l="38100" t="38100" r="47625" b="46990"/>
                  <wp:docPr id="1" name="Picture 1" descr="\\BRNS-Server\AdminUser$\head\Desktop\Joe's stuff\Ofsted\Outstanding\Ofsted_Outstanding_OP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RNS-Server\AdminUser$\head\Desktop\Joe's stuff\Ofsted\Outstanding\Ofsted_Outstanding_OP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2368" cy="75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800000" rev="108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009A5" w:rsidRPr="00450167" w:rsidRDefault="000009A5" w:rsidP="0045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67" w:rsidRPr="00450167" w:rsidRDefault="00450167">
      <w:pPr>
        <w:rPr>
          <w:rFonts w:ascii="Times New Roman" w:hAnsi="Times New Roman" w:cs="Times New Roman"/>
          <w:sz w:val="24"/>
          <w:szCs w:val="24"/>
        </w:rPr>
      </w:pPr>
    </w:p>
    <w:sectPr w:rsidR="00450167" w:rsidRPr="00450167" w:rsidSect="00E64D3D">
      <w:pgSz w:w="16838" w:h="11906" w:orient="landscape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67"/>
    <w:rsid w:val="000009A5"/>
    <w:rsid w:val="00002C0D"/>
    <w:rsid w:val="001276C9"/>
    <w:rsid w:val="0019780A"/>
    <w:rsid w:val="00206673"/>
    <w:rsid w:val="002523F9"/>
    <w:rsid w:val="00352EB4"/>
    <w:rsid w:val="003A4C28"/>
    <w:rsid w:val="003E2702"/>
    <w:rsid w:val="004302FC"/>
    <w:rsid w:val="004366FD"/>
    <w:rsid w:val="00450167"/>
    <w:rsid w:val="004A2240"/>
    <w:rsid w:val="004C4723"/>
    <w:rsid w:val="006D32A8"/>
    <w:rsid w:val="00735692"/>
    <w:rsid w:val="00753B26"/>
    <w:rsid w:val="00767190"/>
    <w:rsid w:val="007C482B"/>
    <w:rsid w:val="0089081B"/>
    <w:rsid w:val="009A559F"/>
    <w:rsid w:val="00A53E7F"/>
    <w:rsid w:val="00A81180"/>
    <w:rsid w:val="00BD7C67"/>
    <w:rsid w:val="00DE3427"/>
    <w:rsid w:val="00E47256"/>
    <w:rsid w:val="00E64D3D"/>
    <w:rsid w:val="00EA0BC8"/>
    <w:rsid w:val="00F02237"/>
    <w:rsid w:val="00F02DE5"/>
    <w:rsid w:val="00F251AD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90AB9-2C13-44B9-8926-F20298D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2D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PA</dc:creator>
  <cp:lastModifiedBy>Admin</cp:lastModifiedBy>
  <cp:revision>2</cp:revision>
  <cp:lastPrinted>2016-05-04T10:21:00Z</cp:lastPrinted>
  <dcterms:created xsi:type="dcterms:W3CDTF">2020-11-18T11:57:00Z</dcterms:created>
  <dcterms:modified xsi:type="dcterms:W3CDTF">2020-11-18T11:57:00Z</dcterms:modified>
</cp:coreProperties>
</file>